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70" w:rsidRPr="00380F70" w:rsidRDefault="00EC71EA" w:rsidP="00A84403">
      <w:pPr>
        <w:tabs>
          <w:tab w:val="left" w:pos="2445"/>
        </w:tabs>
        <w:ind w:left="-720" w:right="-1377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="00380F70" w:rsidRPr="00380F70">
        <w:rPr>
          <w:b/>
          <w:sz w:val="22"/>
          <w:szCs w:val="22"/>
        </w:rPr>
        <w:t>COMPASS GROUP PLC</w:t>
      </w:r>
      <w:r w:rsidR="00A84403">
        <w:rPr>
          <w:b/>
          <w:sz w:val="22"/>
          <w:szCs w:val="22"/>
        </w:rPr>
        <w:tab/>
      </w:r>
    </w:p>
    <w:p w:rsidR="00380F70" w:rsidRPr="00380F70" w:rsidRDefault="00380F70" w:rsidP="00C82D6C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</w:p>
    <w:p w:rsidR="001E3ADA" w:rsidRPr="00380F70" w:rsidRDefault="001E3ADA" w:rsidP="00C82D6C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  <w:r w:rsidRPr="00380F70">
        <w:rPr>
          <w:rFonts w:ascii="Times New Roman" w:hAnsi="Times New Roman" w:cs="Times New Roman"/>
          <w:sz w:val="22"/>
          <w:szCs w:val="22"/>
        </w:rPr>
        <w:t>ANNUAL GENERAL MEETING</w:t>
      </w:r>
      <w:r w:rsidR="005F6B93">
        <w:rPr>
          <w:rFonts w:ascii="Times New Roman" w:hAnsi="Times New Roman" w:cs="Times New Roman"/>
          <w:sz w:val="22"/>
          <w:szCs w:val="22"/>
        </w:rPr>
        <w:t xml:space="preserve"> – </w:t>
      </w:r>
      <w:r w:rsidR="00BC7B97">
        <w:rPr>
          <w:rFonts w:ascii="Times New Roman" w:hAnsi="Times New Roman" w:cs="Times New Roman"/>
          <w:sz w:val="22"/>
          <w:szCs w:val="22"/>
        </w:rPr>
        <w:t>6</w:t>
      </w:r>
      <w:r w:rsidR="00A57179" w:rsidRPr="00380F70">
        <w:rPr>
          <w:rFonts w:ascii="Times New Roman" w:hAnsi="Times New Roman" w:cs="Times New Roman"/>
          <w:sz w:val="22"/>
          <w:szCs w:val="22"/>
        </w:rPr>
        <w:t xml:space="preserve"> FEBRUARY 20</w:t>
      </w:r>
      <w:r w:rsidR="00451F45">
        <w:rPr>
          <w:rFonts w:ascii="Times New Roman" w:hAnsi="Times New Roman" w:cs="Times New Roman"/>
          <w:sz w:val="22"/>
          <w:szCs w:val="22"/>
        </w:rPr>
        <w:t>1</w:t>
      </w:r>
      <w:r w:rsidR="00BC7B97">
        <w:rPr>
          <w:rFonts w:ascii="Times New Roman" w:hAnsi="Times New Roman" w:cs="Times New Roman"/>
          <w:sz w:val="22"/>
          <w:szCs w:val="22"/>
        </w:rPr>
        <w:t>4</w:t>
      </w:r>
      <w:r w:rsidRPr="00380F70">
        <w:rPr>
          <w:rFonts w:ascii="Times New Roman" w:hAnsi="Times New Roman" w:cs="Times New Roman"/>
          <w:sz w:val="22"/>
          <w:szCs w:val="22"/>
        </w:rPr>
        <w:t xml:space="preserve">: </w:t>
      </w:r>
      <w:r w:rsidR="00DF1EC0">
        <w:rPr>
          <w:rFonts w:ascii="Times New Roman" w:hAnsi="Times New Roman" w:cs="Times New Roman"/>
          <w:sz w:val="22"/>
          <w:szCs w:val="22"/>
        </w:rPr>
        <w:t>POLL RESULTS</w:t>
      </w:r>
    </w:p>
    <w:p w:rsidR="001E3ADA" w:rsidRPr="00380F70" w:rsidRDefault="001E3ADA" w:rsidP="00C82D6C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</w:p>
    <w:p w:rsidR="000E19AF" w:rsidRDefault="00216671" w:rsidP="0039544D">
      <w:pPr>
        <w:pStyle w:val="HTMLPreformatted"/>
        <w:tabs>
          <w:tab w:val="clear" w:pos="10076"/>
          <w:tab w:val="left" w:pos="9923"/>
          <w:tab w:val="left" w:pos="10490"/>
        </w:tabs>
        <w:ind w:left="-720" w:right="1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1E3ADA" w:rsidRPr="00380F70">
        <w:rPr>
          <w:rFonts w:ascii="Times New Roman" w:hAnsi="Times New Roman" w:cs="Times New Roman"/>
          <w:sz w:val="22"/>
          <w:szCs w:val="22"/>
        </w:rPr>
        <w:t xml:space="preserve">Compass Group PLC </w:t>
      </w:r>
      <w:r>
        <w:rPr>
          <w:rFonts w:ascii="Times New Roman" w:hAnsi="Times New Roman" w:cs="Times New Roman"/>
          <w:sz w:val="22"/>
          <w:szCs w:val="22"/>
        </w:rPr>
        <w:t xml:space="preserve">Annual General Meeting was held on Thursday </w:t>
      </w:r>
      <w:r w:rsidR="00BC7B97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February 201</w:t>
      </w:r>
      <w:r w:rsidR="00BC7B97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  </w:t>
      </w:r>
      <w:r w:rsidR="000E19AF">
        <w:rPr>
          <w:rFonts w:ascii="Times New Roman" w:hAnsi="Times New Roman" w:cs="Times New Roman"/>
          <w:sz w:val="22"/>
          <w:szCs w:val="22"/>
        </w:rPr>
        <w:t xml:space="preserve">All resolutions were decided on a poll and all resolutions proposed at the Meeting were passed.   </w:t>
      </w:r>
    </w:p>
    <w:p w:rsidR="000E19AF" w:rsidRDefault="000E19AF" w:rsidP="00C82D6C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</w:p>
    <w:p w:rsidR="00216671" w:rsidRDefault="000E19AF" w:rsidP="00C82D6C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number of votes for and against each of the resolutions, and the number of votes withheld </w:t>
      </w:r>
      <w:r w:rsidR="00DF1EC0">
        <w:rPr>
          <w:rFonts w:ascii="Times New Roman" w:hAnsi="Times New Roman" w:cs="Times New Roman"/>
          <w:sz w:val="22"/>
          <w:szCs w:val="22"/>
        </w:rPr>
        <w:t>are set out below:</w:t>
      </w:r>
    </w:p>
    <w:p w:rsidR="001E3ADA" w:rsidRPr="00380F70" w:rsidRDefault="001E3ADA" w:rsidP="00651101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992"/>
        <w:gridCol w:w="1276"/>
        <w:gridCol w:w="850"/>
        <w:gridCol w:w="1418"/>
        <w:gridCol w:w="1276"/>
      </w:tblGrid>
      <w:tr w:rsidR="00935C24" w:rsidTr="00C70408">
        <w:trPr>
          <w:trHeight w:val="255"/>
        </w:trPr>
        <w:tc>
          <w:tcPr>
            <w:tcW w:w="567" w:type="dxa"/>
          </w:tcPr>
          <w:p w:rsidR="00935C24" w:rsidRDefault="00935C24" w:rsidP="00DF1EC0">
            <w:pPr>
              <w:rPr>
                <w:sz w:val="20"/>
                <w:szCs w:val="20"/>
              </w:rPr>
            </w:pPr>
          </w:p>
          <w:p w:rsidR="00935C24" w:rsidRDefault="00935C24" w:rsidP="00DF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</w:t>
            </w:r>
          </w:p>
          <w:p w:rsidR="00935C24" w:rsidRDefault="00935C24" w:rsidP="00DF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35C24" w:rsidRDefault="00935C24" w:rsidP="00DF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C24" w:rsidRDefault="00935C24" w:rsidP="00DF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Votes ‘For’ &amp; ‘Discretionary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5C24" w:rsidRDefault="00935C24" w:rsidP="00DF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35C24" w:rsidRPr="00DF1EC0" w:rsidRDefault="00935C24" w:rsidP="00DF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of </w:t>
            </w:r>
            <w:r w:rsidRPr="00DF1EC0">
              <w:rPr>
                <w:sz w:val="20"/>
                <w:szCs w:val="20"/>
              </w:rPr>
              <w:t xml:space="preserve">Votes </w:t>
            </w:r>
            <w:r>
              <w:rPr>
                <w:sz w:val="20"/>
                <w:szCs w:val="20"/>
              </w:rPr>
              <w:t>‘</w:t>
            </w:r>
            <w:r w:rsidRPr="00DF1EC0">
              <w:rPr>
                <w:sz w:val="20"/>
                <w:szCs w:val="20"/>
              </w:rPr>
              <w:t>Against</w:t>
            </w:r>
            <w:r>
              <w:rPr>
                <w:sz w:val="20"/>
                <w:szCs w:val="20"/>
              </w:rPr>
              <w:t>’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35C24" w:rsidRDefault="00935C24" w:rsidP="00DF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C24" w:rsidRDefault="00935C24" w:rsidP="00DF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No. of Votes Cast</w:t>
            </w:r>
          </w:p>
        </w:tc>
        <w:tc>
          <w:tcPr>
            <w:tcW w:w="1276" w:type="dxa"/>
          </w:tcPr>
          <w:p w:rsidR="00935C24" w:rsidRDefault="00935C24" w:rsidP="0039544D">
            <w:pPr>
              <w:ind w:left="227"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of  </w:t>
            </w:r>
          </w:p>
          <w:p w:rsidR="00935C24" w:rsidRDefault="00935C24" w:rsidP="0039544D">
            <w:pPr>
              <w:ind w:left="227"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Votes </w:t>
            </w:r>
          </w:p>
          <w:p w:rsidR="00935C24" w:rsidRDefault="00935C24" w:rsidP="0039544D">
            <w:pPr>
              <w:ind w:left="227"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Withheld</w:t>
            </w:r>
          </w:p>
        </w:tc>
      </w:tr>
      <w:tr w:rsidR="00173C90" w:rsidRPr="004C21DF" w:rsidTr="00994F3A">
        <w:trPr>
          <w:trHeight w:val="255"/>
        </w:trPr>
        <w:tc>
          <w:tcPr>
            <w:tcW w:w="567" w:type="dxa"/>
          </w:tcPr>
          <w:p w:rsidR="00173C90" w:rsidRPr="004C21DF" w:rsidRDefault="00173C90" w:rsidP="00DF1EC0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173C90" w:rsidRPr="004C21DF" w:rsidRDefault="00173C90" w:rsidP="00DF1EC0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Receive and adopt the Annual Report and Accounts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4C21DF" w:rsidRDefault="00811F44" w:rsidP="00175D14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1,330,338,721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3C90" w:rsidRPr="004C21DF" w:rsidRDefault="00811F44" w:rsidP="00175D14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99.99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73C90" w:rsidRPr="004C21DF" w:rsidRDefault="00811F44" w:rsidP="00175D14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172,872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73C90" w:rsidRPr="004C21DF" w:rsidRDefault="00811F44" w:rsidP="00175D14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0.01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4C21DF" w:rsidRDefault="00811F44" w:rsidP="00175D14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1,330,511,593</w:t>
            </w:r>
          </w:p>
        </w:tc>
        <w:tc>
          <w:tcPr>
            <w:tcW w:w="1276" w:type="dxa"/>
            <w:vAlign w:val="bottom"/>
          </w:tcPr>
          <w:p w:rsidR="00B16FFF" w:rsidRPr="004C21DF" w:rsidRDefault="00811F44" w:rsidP="00267D46">
            <w:pPr>
              <w:ind w:right="-96"/>
              <w:jc w:val="center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14,996,641</w:t>
            </w:r>
          </w:p>
        </w:tc>
      </w:tr>
      <w:tr w:rsidR="00811F44" w:rsidRPr="004C21DF" w:rsidTr="00994F3A">
        <w:trPr>
          <w:trHeight w:val="558"/>
        </w:trPr>
        <w:tc>
          <w:tcPr>
            <w:tcW w:w="567" w:type="dxa"/>
          </w:tcPr>
          <w:p w:rsidR="00811F44" w:rsidRPr="004C21DF" w:rsidRDefault="00811F44" w:rsidP="00811F44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811F44" w:rsidRPr="004C21DF" w:rsidRDefault="00811F44" w:rsidP="00811F44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 xml:space="preserve">Receive and adopt the Remuneration Policy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11F44" w:rsidRPr="004C21DF" w:rsidRDefault="00811F44" w:rsidP="00811F44">
            <w:pPr>
              <w:jc w:val="center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1,295,245,629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11F44" w:rsidRPr="004C21DF" w:rsidRDefault="00B9694E" w:rsidP="00811F44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97.79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11F44" w:rsidRPr="004C21DF" w:rsidRDefault="00074A8E" w:rsidP="00811F44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29,294,670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11F44" w:rsidRPr="004C21DF" w:rsidRDefault="00B14E38" w:rsidP="00811F44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2.21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11F44" w:rsidRPr="004C21DF" w:rsidRDefault="004C21DF" w:rsidP="00811F44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1,324,540,299</w:t>
            </w:r>
          </w:p>
        </w:tc>
        <w:tc>
          <w:tcPr>
            <w:tcW w:w="1276" w:type="dxa"/>
            <w:vAlign w:val="bottom"/>
          </w:tcPr>
          <w:p w:rsidR="00811F44" w:rsidRPr="004C21DF" w:rsidRDefault="004C21DF" w:rsidP="00811F44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20,969,315</w:t>
            </w:r>
          </w:p>
        </w:tc>
      </w:tr>
      <w:tr w:rsidR="00B9694E" w:rsidRPr="004C21DF" w:rsidTr="00994F3A">
        <w:trPr>
          <w:trHeight w:val="255"/>
        </w:trPr>
        <w:tc>
          <w:tcPr>
            <w:tcW w:w="567" w:type="dxa"/>
          </w:tcPr>
          <w:p w:rsidR="00B9694E" w:rsidRPr="004C21DF" w:rsidRDefault="00B9694E" w:rsidP="00B9694E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B9694E" w:rsidRPr="004C21DF" w:rsidRDefault="00B9694E" w:rsidP="00B9694E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Receive and adopt the Directors’ Remuneration Report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694E" w:rsidRPr="004C21DF" w:rsidRDefault="00B9694E" w:rsidP="00B9694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1,298,778,448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694E" w:rsidRPr="004C21DF" w:rsidRDefault="00B9694E" w:rsidP="00B9694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99.11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694E" w:rsidRPr="004C21DF" w:rsidRDefault="00074A8E" w:rsidP="00B9694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11,674,740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9694E" w:rsidRPr="004C21DF" w:rsidRDefault="00B14E38" w:rsidP="00B9694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0.89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694E" w:rsidRPr="004C21DF" w:rsidRDefault="004C21DF" w:rsidP="00B9694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1,310,453,188</w:t>
            </w:r>
          </w:p>
        </w:tc>
        <w:tc>
          <w:tcPr>
            <w:tcW w:w="1276" w:type="dxa"/>
            <w:vAlign w:val="bottom"/>
          </w:tcPr>
          <w:p w:rsidR="00B9694E" w:rsidRPr="004C21DF" w:rsidRDefault="004C21DF" w:rsidP="00B9694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35,058,273</w:t>
            </w:r>
          </w:p>
        </w:tc>
      </w:tr>
      <w:tr w:rsidR="00B9694E" w:rsidRPr="004C21DF" w:rsidTr="00994F3A">
        <w:trPr>
          <w:trHeight w:val="255"/>
        </w:trPr>
        <w:tc>
          <w:tcPr>
            <w:tcW w:w="567" w:type="dxa"/>
          </w:tcPr>
          <w:p w:rsidR="00B9694E" w:rsidRPr="004C21DF" w:rsidRDefault="00B9694E" w:rsidP="00B9694E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B9694E" w:rsidRPr="004C21DF" w:rsidRDefault="00B9694E" w:rsidP="00B9694E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Declare a final dividend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694E" w:rsidRPr="004C21DF" w:rsidRDefault="00B9694E" w:rsidP="00B9694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1,331,265,606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694E" w:rsidRPr="004C21DF" w:rsidRDefault="00B9694E" w:rsidP="00B9694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99.76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694E" w:rsidRPr="004C21DF" w:rsidRDefault="00074A8E" w:rsidP="00B9694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3,172,304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9694E" w:rsidRPr="004C21DF" w:rsidRDefault="00B14E38" w:rsidP="00B9694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0.24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694E" w:rsidRPr="004C21DF" w:rsidRDefault="004C21DF" w:rsidP="00B9694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1,334,437,910</w:t>
            </w:r>
          </w:p>
        </w:tc>
        <w:tc>
          <w:tcPr>
            <w:tcW w:w="1276" w:type="dxa"/>
            <w:vAlign w:val="bottom"/>
          </w:tcPr>
          <w:p w:rsidR="00B9694E" w:rsidRPr="004C21DF" w:rsidRDefault="004C21DF" w:rsidP="00B9694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11,048,817</w:t>
            </w:r>
          </w:p>
        </w:tc>
      </w:tr>
      <w:tr w:rsidR="00B9694E" w:rsidRPr="004C21DF" w:rsidTr="00994F3A">
        <w:trPr>
          <w:trHeight w:val="255"/>
        </w:trPr>
        <w:tc>
          <w:tcPr>
            <w:tcW w:w="567" w:type="dxa"/>
          </w:tcPr>
          <w:p w:rsidR="00B9694E" w:rsidRPr="004C21DF" w:rsidRDefault="00B9694E" w:rsidP="00B9694E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B9694E" w:rsidRPr="004C21DF" w:rsidRDefault="00B9694E" w:rsidP="00B9694E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Elect Paul Walsh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694E" w:rsidRPr="004C21DF" w:rsidRDefault="00B9694E" w:rsidP="00B9694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1,304,012,037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694E" w:rsidRPr="004C21DF" w:rsidRDefault="00B9694E" w:rsidP="00B9694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97.73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694E" w:rsidRPr="004C21DF" w:rsidRDefault="00074A8E" w:rsidP="00B9694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30,354,538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9694E" w:rsidRPr="004C21DF" w:rsidRDefault="00B14E38" w:rsidP="00B9694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2.27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694E" w:rsidRPr="004C21DF" w:rsidRDefault="004C21DF" w:rsidP="00B9694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1,334,366,575</w:t>
            </w:r>
          </w:p>
        </w:tc>
        <w:tc>
          <w:tcPr>
            <w:tcW w:w="1276" w:type="dxa"/>
            <w:vAlign w:val="bottom"/>
          </w:tcPr>
          <w:p w:rsidR="00B9694E" w:rsidRPr="004C21DF" w:rsidRDefault="004C21DF" w:rsidP="00B9694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11,141,962</w:t>
            </w:r>
          </w:p>
        </w:tc>
      </w:tr>
      <w:tr w:rsidR="00074A8E" w:rsidRPr="004C21DF" w:rsidTr="00994F3A">
        <w:trPr>
          <w:trHeight w:val="255"/>
        </w:trPr>
        <w:tc>
          <w:tcPr>
            <w:tcW w:w="567" w:type="dxa"/>
          </w:tcPr>
          <w:p w:rsidR="00074A8E" w:rsidRPr="004C21DF" w:rsidRDefault="00074A8E" w:rsidP="00074A8E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074A8E" w:rsidRPr="004C21DF" w:rsidRDefault="00074A8E" w:rsidP="00074A8E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Re-elect Dominic Blakemore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74A8E" w:rsidRPr="004C21DF" w:rsidRDefault="00074A8E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1,313,604,504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4A8E" w:rsidRPr="004C21DF" w:rsidRDefault="00074A8E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98.45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74A8E" w:rsidRPr="004C21DF" w:rsidRDefault="00074A8E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20,729,416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4A8E" w:rsidRPr="004C21DF" w:rsidRDefault="00B14E38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1.55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74A8E" w:rsidRPr="004C21DF" w:rsidRDefault="004C21DF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1,334,333,920</w:t>
            </w:r>
          </w:p>
        </w:tc>
        <w:tc>
          <w:tcPr>
            <w:tcW w:w="1276" w:type="dxa"/>
            <w:vAlign w:val="bottom"/>
          </w:tcPr>
          <w:p w:rsidR="00074A8E" w:rsidRPr="004C21DF" w:rsidRDefault="004C21DF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11,170,815</w:t>
            </w:r>
          </w:p>
        </w:tc>
      </w:tr>
      <w:tr w:rsidR="00074A8E" w:rsidRPr="004C21DF" w:rsidTr="00994F3A">
        <w:trPr>
          <w:trHeight w:val="255"/>
        </w:trPr>
        <w:tc>
          <w:tcPr>
            <w:tcW w:w="567" w:type="dxa"/>
          </w:tcPr>
          <w:p w:rsidR="00074A8E" w:rsidRPr="004C21DF" w:rsidRDefault="00074A8E" w:rsidP="00074A8E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074A8E" w:rsidRPr="004C21DF" w:rsidRDefault="00074A8E" w:rsidP="00074A8E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Re-elect Richard Cousins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74A8E" w:rsidRPr="004C21DF" w:rsidRDefault="00074A8E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1,276,396,744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4A8E" w:rsidRPr="004C21DF" w:rsidRDefault="00074A8E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95.66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74A8E" w:rsidRPr="004C21DF" w:rsidRDefault="00074A8E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57,965,907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4A8E" w:rsidRPr="004C21DF" w:rsidRDefault="00B14E38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4.34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74A8E" w:rsidRPr="004C21DF" w:rsidRDefault="004C21DF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1,334,362,651</w:t>
            </w:r>
          </w:p>
        </w:tc>
        <w:tc>
          <w:tcPr>
            <w:tcW w:w="1276" w:type="dxa"/>
            <w:vAlign w:val="bottom"/>
          </w:tcPr>
          <w:p w:rsidR="00074A8E" w:rsidRPr="004C21DF" w:rsidRDefault="004C21DF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11,143,133</w:t>
            </w:r>
          </w:p>
        </w:tc>
      </w:tr>
      <w:tr w:rsidR="00074A8E" w:rsidRPr="004C21DF" w:rsidTr="00994F3A">
        <w:trPr>
          <w:trHeight w:val="255"/>
        </w:trPr>
        <w:tc>
          <w:tcPr>
            <w:tcW w:w="567" w:type="dxa"/>
          </w:tcPr>
          <w:p w:rsidR="00074A8E" w:rsidRPr="004C21DF" w:rsidRDefault="00074A8E" w:rsidP="00074A8E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074A8E" w:rsidRPr="004C21DF" w:rsidRDefault="00074A8E" w:rsidP="00074A8E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Re-elect Gary Green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74A8E" w:rsidRPr="004C21DF" w:rsidRDefault="00074A8E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1,316,969,912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4A8E" w:rsidRPr="004C21DF" w:rsidRDefault="00074A8E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98.70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74A8E" w:rsidRPr="004C21DF" w:rsidRDefault="00074A8E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17,394,716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4A8E" w:rsidRPr="004C21DF" w:rsidRDefault="00B14E38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1.30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74A8E" w:rsidRPr="004C21DF" w:rsidRDefault="004C21DF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1,334,364,628</w:t>
            </w:r>
          </w:p>
        </w:tc>
        <w:tc>
          <w:tcPr>
            <w:tcW w:w="1276" w:type="dxa"/>
            <w:vAlign w:val="bottom"/>
          </w:tcPr>
          <w:p w:rsidR="00074A8E" w:rsidRPr="004C21DF" w:rsidRDefault="004C21DF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11,140,826</w:t>
            </w:r>
          </w:p>
        </w:tc>
      </w:tr>
      <w:tr w:rsidR="00074A8E" w:rsidRPr="004C21DF" w:rsidTr="00994F3A">
        <w:trPr>
          <w:trHeight w:val="255"/>
        </w:trPr>
        <w:tc>
          <w:tcPr>
            <w:tcW w:w="567" w:type="dxa"/>
          </w:tcPr>
          <w:p w:rsidR="00074A8E" w:rsidRPr="004C21DF" w:rsidRDefault="00074A8E" w:rsidP="00074A8E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074A8E" w:rsidRPr="004C21DF" w:rsidRDefault="00074A8E" w:rsidP="00074A8E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Re-elect Andrew Martin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74A8E" w:rsidRPr="004C21DF" w:rsidRDefault="00074A8E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1,316,956,522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4A8E" w:rsidRPr="004C21DF" w:rsidRDefault="00074A8E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98.70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74A8E" w:rsidRPr="004C21DF" w:rsidRDefault="00074A8E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17,367,340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4A8E" w:rsidRPr="004C21DF" w:rsidRDefault="00B14E38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1.30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74A8E" w:rsidRPr="004C21DF" w:rsidRDefault="004C21DF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1,334,323,862</w:t>
            </w:r>
          </w:p>
        </w:tc>
        <w:tc>
          <w:tcPr>
            <w:tcW w:w="1276" w:type="dxa"/>
            <w:vAlign w:val="bottom"/>
          </w:tcPr>
          <w:p w:rsidR="00074A8E" w:rsidRPr="004C21DF" w:rsidRDefault="004C21DF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11,179,229</w:t>
            </w:r>
          </w:p>
        </w:tc>
      </w:tr>
      <w:tr w:rsidR="00074A8E" w:rsidRPr="004C21DF" w:rsidTr="00994F3A">
        <w:trPr>
          <w:trHeight w:val="255"/>
        </w:trPr>
        <w:tc>
          <w:tcPr>
            <w:tcW w:w="567" w:type="dxa"/>
          </w:tcPr>
          <w:p w:rsidR="00074A8E" w:rsidRPr="004C21DF" w:rsidRDefault="00074A8E" w:rsidP="00074A8E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074A8E" w:rsidRPr="004C21DF" w:rsidRDefault="00074A8E" w:rsidP="00074A8E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Re-elect John Bason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74A8E" w:rsidRPr="004C21DF" w:rsidRDefault="00074A8E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1,326,641,406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4A8E" w:rsidRPr="004C21DF" w:rsidRDefault="00074A8E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99.42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74A8E" w:rsidRPr="004C21DF" w:rsidRDefault="00074A8E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7,701,903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4A8E" w:rsidRPr="004C21DF" w:rsidRDefault="00B14E38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0.58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74A8E" w:rsidRPr="004C21DF" w:rsidRDefault="004C21DF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1,334,343,309</w:t>
            </w:r>
          </w:p>
        </w:tc>
        <w:tc>
          <w:tcPr>
            <w:tcW w:w="1276" w:type="dxa"/>
            <w:vAlign w:val="bottom"/>
          </w:tcPr>
          <w:p w:rsidR="00074A8E" w:rsidRPr="004C21DF" w:rsidRDefault="004C21DF" w:rsidP="00074A8E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11,162,586</w:t>
            </w:r>
          </w:p>
        </w:tc>
      </w:tr>
      <w:tr w:rsidR="004C21DF" w:rsidRPr="004C21DF" w:rsidTr="00994F3A">
        <w:trPr>
          <w:trHeight w:val="255"/>
        </w:trPr>
        <w:tc>
          <w:tcPr>
            <w:tcW w:w="567" w:type="dxa"/>
          </w:tcPr>
          <w:p w:rsidR="004C21DF" w:rsidRPr="004C21DF" w:rsidRDefault="004C21DF" w:rsidP="004C21DF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4C21DF" w:rsidRPr="004C21DF" w:rsidRDefault="004C21DF" w:rsidP="004C21DF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Re-elect Susan Murray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1,325,902,163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99.37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8,443,224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0.63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1,334,345,387</w:t>
            </w:r>
          </w:p>
        </w:tc>
        <w:tc>
          <w:tcPr>
            <w:tcW w:w="1276" w:type="dxa"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11,162,041</w:t>
            </w:r>
          </w:p>
        </w:tc>
      </w:tr>
      <w:tr w:rsidR="004C21DF" w:rsidRPr="004C21DF" w:rsidTr="00994F3A">
        <w:trPr>
          <w:trHeight w:val="255"/>
        </w:trPr>
        <w:tc>
          <w:tcPr>
            <w:tcW w:w="567" w:type="dxa"/>
          </w:tcPr>
          <w:p w:rsidR="004C21DF" w:rsidRPr="004C21DF" w:rsidRDefault="004C21DF" w:rsidP="004C21DF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4C21DF" w:rsidRPr="004C21DF" w:rsidRDefault="004C21DF" w:rsidP="004C21DF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Re-elect Don Robert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1,325,687,682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99.35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8,657,855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0.65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1,334,345,537</w:t>
            </w:r>
          </w:p>
        </w:tc>
        <w:tc>
          <w:tcPr>
            <w:tcW w:w="1276" w:type="dxa"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11,165,115</w:t>
            </w:r>
          </w:p>
        </w:tc>
      </w:tr>
      <w:tr w:rsidR="004C21DF" w:rsidRPr="004C21DF" w:rsidTr="00994F3A">
        <w:trPr>
          <w:trHeight w:val="255"/>
        </w:trPr>
        <w:tc>
          <w:tcPr>
            <w:tcW w:w="567" w:type="dxa"/>
          </w:tcPr>
          <w:p w:rsidR="004C21DF" w:rsidRPr="004C21DF" w:rsidRDefault="004C21DF" w:rsidP="004C21DF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4C21DF" w:rsidRPr="004C21DF" w:rsidRDefault="004C21DF" w:rsidP="004C21DF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Re-elect Sir Ian Robinson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1,326,497,528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99.41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7,830,343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0.59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1,334,327,871</w:t>
            </w:r>
          </w:p>
        </w:tc>
        <w:tc>
          <w:tcPr>
            <w:tcW w:w="1276" w:type="dxa"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11,181,192</w:t>
            </w:r>
          </w:p>
        </w:tc>
      </w:tr>
      <w:tr w:rsidR="004C21DF" w:rsidRPr="004C21DF" w:rsidTr="00994F3A">
        <w:trPr>
          <w:trHeight w:val="255"/>
        </w:trPr>
        <w:tc>
          <w:tcPr>
            <w:tcW w:w="567" w:type="dxa"/>
          </w:tcPr>
          <w:p w:rsidR="004C21DF" w:rsidRPr="004C21DF" w:rsidRDefault="004C21DF" w:rsidP="004C21DF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Re-appoint Deloitte LLP as Auditors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1,293,495,312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98.11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24,891,170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1.89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1,318,386,482</w:t>
            </w:r>
          </w:p>
        </w:tc>
        <w:tc>
          <w:tcPr>
            <w:tcW w:w="1276" w:type="dxa"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27,115,744</w:t>
            </w:r>
          </w:p>
        </w:tc>
      </w:tr>
      <w:tr w:rsidR="004C21DF" w:rsidRPr="004C21DF" w:rsidTr="00994F3A">
        <w:trPr>
          <w:trHeight w:val="255"/>
        </w:trPr>
        <w:tc>
          <w:tcPr>
            <w:tcW w:w="567" w:type="dxa"/>
          </w:tcPr>
          <w:p w:rsidR="004C21DF" w:rsidRPr="004C21DF" w:rsidRDefault="004C21DF" w:rsidP="004C21DF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Authorise the Directors to agree the Auditor’s remuneration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1,311,494,248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98.61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1DF" w:rsidRPr="004C21DF" w:rsidRDefault="00EC71EA" w:rsidP="004C2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C21DF" w:rsidRPr="004C21DF">
              <w:rPr>
                <w:sz w:val="20"/>
                <w:szCs w:val="20"/>
              </w:rPr>
              <w:t>18,435,481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1.39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1,329,929,729</w:t>
            </w:r>
          </w:p>
        </w:tc>
        <w:tc>
          <w:tcPr>
            <w:tcW w:w="1276" w:type="dxa"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15,577,835</w:t>
            </w:r>
          </w:p>
        </w:tc>
      </w:tr>
      <w:tr w:rsidR="004C21DF" w:rsidRPr="004C21DF" w:rsidTr="00994F3A">
        <w:trPr>
          <w:trHeight w:val="255"/>
        </w:trPr>
        <w:tc>
          <w:tcPr>
            <w:tcW w:w="567" w:type="dxa"/>
          </w:tcPr>
          <w:p w:rsidR="004C21DF" w:rsidRPr="004C21DF" w:rsidRDefault="004C21DF" w:rsidP="004C21DF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EU political Donations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1,280,740,526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97.95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26,797,250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2.05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1,307,537,776</w:t>
            </w:r>
          </w:p>
        </w:tc>
        <w:tc>
          <w:tcPr>
            <w:tcW w:w="1276" w:type="dxa"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37,966,429</w:t>
            </w:r>
          </w:p>
        </w:tc>
      </w:tr>
      <w:tr w:rsidR="004C21DF" w:rsidRPr="004C21DF" w:rsidTr="00994F3A">
        <w:trPr>
          <w:trHeight w:val="255"/>
        </w:trPr>
        <w:tc>
          <w:tcPr>
            <w:tcW w:w="567" w:type="dxa"/>
          </w:tcPr>
          <w:p w:rsidR="004C21DF" w:rsidRPr="004C21DF" w:rsidRDefault="004C21DF" w:rsidP="004C21DF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Authority to allot shares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1,267,913,933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95.17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64,398,62</w:t>
            </w:r>
            <w:r w:rsidR="00EC71E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4.83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1,332,312,554</w:t>
            </w:r>
          </w:p>
        </w:tc>
        <w:tc>
          <w:tcPr>
            <w:tcW w:w="1276" w:type="dxa"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13,192,992</w:t>
            </w:r>
          </w:p>
        </w:tc>
      </w:tr>
      <w:tr w:rsidR="004C21DF" w:rsidRPr="004C21DF" w:rsidTr="00994F3A">
        <w:trPr>
          <w:trHeight w:val="255"/>
        </w:trPr>
        <w:tc>
          <w:tcPr>
            <w:tcW w:w="567" w:type="dxa"/>
          </w:tcPr>
          <w:p w:rsidR="004C21DF" w:rsidRPr="004C21DF" w:rsidRDefault="004C21DF" w:rsidP="004C21DF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Authority to allot shares for cash*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1,330,126,531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99.84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2,181,259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0.16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1,332,307,790</w:t>
            </w:r>
          </w:p>
        </w:tc>
        <w:tc>
          <w:tcPr>
            <w:tcW w:w="1276" w:type="dxa"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13,197,747</w:t>
            </w:r>
          </w:p>
        </w:tc>
      </w:tr>
      <w:tr w:rsidR="004C21DF" w:rsidRPr="004C21DF" w:rsidTr="00994F3A">
        <w:trPr>
          <w:trHeight w:val="255"/>
        </w:trPr>
        <w:tc>
          <w:tcPr>
            <w:tcW w:w="567" w:type="dxa"/>
          </w:tcPr>
          <w:p w:rsidR="004C21DF" w:rsidRPr="004C21DF" w:rsidRDefault="004C21DF" w:rsidP="004C21DF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Authority to purchase shares*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1,255,271,394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94.07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79,105,896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5.93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1,334,377,290</w:t>
            </w:r>
          </w:p>
        </w:tc>
        <w:tc>
          <w:tcPr>
            <w:tcW w:w="1276" w:type="dxa"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11,125,886</w:t>
            </w:r>
          </w:p>
        </w:tc>
      </w:tr>
      <w:tr w:rsidR="004C21DF" w:rsidRPr="004C21DF" w:rsidTr="00994F3A">
        <w:trPr>
          <w:trHeight w:val="255"/>
        </w:trPr>
        <w:tc>
          <w:tcPr>
            <w:tcW w:w="567" w:type="dxa"/>
          </w:tcPr>
          <w:p w:rsidR="004C21DF" w:rsidRPr="004C21DF" w:rsidRDefault="004C21DF" w:rsidP="004C21DF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Reduce general meeting notice periods*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1,146,356,815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85.91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187,999,498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14.09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1,334,356,313</w:t>
            </w:r>
          </w:p>
        </w:tc>
        <w:tc>
          <w:tcPr>
            <w:tcW w:w="1276" w:type="dxa"/>
            <w:vAlign w:val="bottom"/>
          </w:tcPr>
          <w:p w:rsidR="004C21DF" w:rsidRPr="004C21DF" w:rsidRDefault="004C21DF" w:rsidP="004C21DF">
            <w:pPr>
              <w:jc w:val="right"/>
              <w:rPr>
                <w:sz w:val="20"/>
                <w:szCs w:val="20"/>
              </w:rPr>
            </w:pPr>
            <w:r w:rsidRPr="004C21DF">
              <w:rPr>
                <w:sz w:val="20"/>
                <w:szCs w:val="20"/>
              </w:rPr>
              <w:t>11,148,317</w:t>
            </w:r>
          </w:p>
        </w:tc>
      </w:tr>
    </w:tbl>
    <w:p w:rsidR="00483C48" w:rsidRPr="004C21DF" w:rsidRDefault="00483C48" w:rsidP="00DF1EC0">
      <w:pPr>
        <w:pStyle w:val="HTMLPreformatted"/>
        <w:ind w:left="-720"/>
        <w:jc w:val="right"/>
        <w:rPr>
          <w:rFonts w:ascii="Times New Roman" w:hAnsi="Times New Roman" w:cs="Times New Roman"/>
        </w:rPr>
      </w:pPr>
    </w:p>
    <w:p w:rsidR="00216671" w:rsidRPr="004C21DF" w:rsidRDefault="00216671" w:rsidP="008A25D5">
      <w:pPr>
        <w:pStyle w:val="HTMLPreformatted"/>
        <w:ind w:left="-720"/>
        <w:jc w:val="both"/>
        <w:rPr>
          <w:rFonts w:ascii="Times New Roman" w:hAnsi="Times New Roman" w:cs="Times New Roman"/>
        </w:rPr>
      </w:pPr>
      <w:r w:rsidRPr="004C21DF">
        <w:rPr>
          <w:rFonts w:ascii="Times New Roman" w:hAnsi="Times New Roman" w:cs="Times New Roman"/>
        </w:rPr>
        <w:t xml:space="preserve">* </w:t>
      </w:r>
      <w:r w:rsidR="002F75E8" w:rsidRPr="004C21DF">
        <w:rPr>
          <w:rFonts w:ascii="Times New Roman" w:hAnsi="Times New Roman" w:cs="Times New Roman"/>
        </w:rPr>
        <w:t>P</w:t>
      </w:r>
      <w:r w:rsidRPr="004C21DF">
        <w:rPr>
          <w:rFonts w:ascii="Times New Roman" w:hAnsi="Times New Roman" w:cs="Times New Roman"/>
        </w:rPr>
        <w:t xml:space="preserve">assed as a special resolution. </w:t>
      </w:r>
    </w:p>
    <w:p w:rsidR="002F75E8" w:rsidRPr="004C21DF" w:rsidRDefault="00216671" w:rsidP="008A25D5">
      <w:pPr>
        <w:pStyle w:val="HTMLPreformatted"/>
        <w:ind w:left="-720"/>
        <w:jc w:val="both"/>
        <w:rPr>
          <w:rFonts w:ascii="Times New Roman" w:hAnsi="Times New Roman" w:cs="Times New Roman"/>
        </w:rPr>
      </w:pPr>
      <w:r w:rsidRPr="004C21DF">
        <w:rPr>
          <w:rFonts w:ascii="Times New Roman" w:hAnsi="Times New Roman" w:cs="Times New Roman"/>
        </w:rPr>
        <w:t xml:space="preserve"> </w:t>
      </w:r>
    </w:p>
    <w:p w:rsidR="00216671" w:rsidRDefault="002F75E8" w:rsidP="008A25D5">
      <w:pPr>
        <w:pStyle w:val="HTMLPreformatted"/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16671">
        <w:rPr>
          <w:rFonts w:ascii="Times New Roman" w:hAnsi="Times New Roman" w:cs="Times New Roman"/>
        </w:rPr>
        <w:t xml:space="preserve">otes ‘withheld’ have not been included in the </w:t>
      </w:r>
      <w:r w:rsidR="000E19AF">
        <w:rPr>
          <w:rFonts w:ascii="Times New Roman" w:hAnsi="Times New Roman" w:cs="Times New Roman"/>
        </w:rPr>
        <w:t xml:space="preserve">calculation of whether a resolution is carried.  Percentages have been rounded to two decimal places. </w:t>
      </w:r>
    </w:p>
    <w:p w:rsidR="002F75E8" w:rsidRDefault="002F75E8" w:rsidP="008A25D5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</w:p>
    <w:p w:rsidR="00F9567F" w:rsidRDefault="002F75E8" w:rsidP="008A25D5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copy of the above results wi</w:t>
      </w:r>
      <w:r w:rsidR="006B7E9E">
        <w:rPr>
          <w:rFonts w:ascii="Times New Roman" w:hAnsi="Times New Roman" w:cs="Times New Roman"/>
          <w:sz w:val="22"/>
          <w:szCs w:val="22"/>
        </w:rPr>
        <w:t>ll</w:t>
      </w:r>
      <w:r>
        <w:rPr>
          <w:rFonts w:ascii="Times New Roman" w:hAnsi="Times New Roman" w:cs="Times New Roman"/>
          <w:sz w:val="22"/>
          <w:szCs w:val="22"/>
        </w:rPr>
        <w:t xml:space="preserve"> shortly be available </w:t>
      </w:r>
      <w:r w:rsidR="00216671" w:rsidRPr="00216671">
        <w:rPr>
          <w:rFonts w:ascii="Times New Roman" w:hAnsi="Times New Roman" w:cs="Times New Roman"/>
          <w:sz w:val="22"/>
          <w:szCs w:val="22"/>
        </w:rPr>
        <w:t xml:space="preserve">in the investor </w:t>
      </w:r>
      <w:r w:rsidR="002A10EF">
        <w:rPr>
          <w:rFonts w:ascii="Times New Roman" w:hAnsi="Times New Roman" w:cs="Times New Roman"/>
          <w:sz w:val="22"/>
          <w:szCs w:val="22"/>
        </w:rPr>
        <w:t>section</w:t>
      </w:r>
      <w:r w:rsidR="00216671" w:rsidRPr="00216671">
        <w:rPr>
          <w:rFonts w:ascii="Times New Roman" w:hAnsi="Times New Roman" w:cs="Times New Roman"/>
          <w:sz w:val="22"/>
          <w:szCs w:val="22"/>
        </w:rPr>
        <w:t xml:space="preserve"> of the Company’s website </w:t>
      </w:r>
    </w:p>
    <w:p w:rsidR="00216671" w:rsidRDefault="00243E85" w:rsidP="008A25D5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>
        <w:r w:rsidR="00216671" w:rsidRPr="00216671">
          <w:rPr>
            <w:rStyle w:val="Hyperlink"/>
            <w:rFonts w:ascii="Times New Roman" w:hAnsi="Times New Roman" w:cs="Times New Roman"/>
            <w:sz w:val="22"/>
            <w:szCs w:val="22"/>
          </w:rPr>
          <w:t>www.compass-group.com</w:t>
        </w:r>
      </w:hyperlink>
      <w:r w:rsidR="00216671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216671" w:rsidRDefault="00216671" w:rsidP="008A25D5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</w:p>
    <w:p w:rsidR="00216671" w:rsidRPr="00216671" w:rsidRDefault="00216671" w:rsidP="008A25D5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  <w:r w:rsidRPr="00216671">
        <w:rPr>
          <w:rFonts w:ascii="Times New Roman" w:hAnsi="Times New Roman" w:cs="Times New Roman"/>
          <w:sz w:val="22"/>
          <w:szCs w:val="22"/>
        </w:rPr>
        <w:t xml:space="preserve">Copies of </w:t>
      </w:r>
      <w:r w:rsidR="002A10EF">
        <w:rPr>
          <w:rFonts w:ascii="Times New Roman" w:hAnsi="Times New Roman" w:cs="Times New Roman"/>
          <w:sz w:val="22"/>
          <w:szCs w:val="22"/>
        </w:rPr>
        <w:t>R</w:t>
      </w:r>
      <w:r w:rsidRPr="00216671">
        <w:rPr>
          <w:rFonts w:ascii="Times New Roman" w:hAnsi="Times New Roman" w:cs="Times New Roman"/>
          <w:sz w:val="22"/>
          <w:szCs w:val="22"/>
        </w:rPr>
        <w:t>esolutions</w:t>
      </w:r>
      <w:r w:rsidR="002A10EF">
        <w:rPr>
          <w:rFonts w:ascii="Times New Roman" w:hAnsi="Times New Roman" w:cs="Times New Roman"/>
          <w:sz w:val="22"/>
          <w:szCs w:val="22"/>
        </w:rPr>
        <w:t xml:space="preserve"> 1</w:t>
      </w:r>
      <w:r w:rsidR="00372B65">
        <w:rPr>
          <w:rFonts w:ascii="Times New Roman" w:hAnsi="Times New Roman" w:cs="Times New Roman"/>
          <w:sz w:val="22"/>
          <w:szCs w:val="22"/>
        </w:rPr>
        <w:t>6</w:t>
      </w:r>
      <w:r w:rsidR="002A10EF">
        <w:rPr>
          <w:rFonts w:ascii="Times New Roman" w:hAnsi="Times New Roman" w:cs="Times New Roman"/>
          <w:sz w:val="22"/>
          <w:szCs w:val="22"/>
        </w:rPr>
        <w:t xml:space="preserve"> to </w:t>
      </w:r>
      <w:r w:rsidR="00FF1FF0">
        <w:rPr>
          <w:rFonts w:ascii="Times New Roman" w:hAnsi="Times New Roman" w:cs="Times New Roman"/>
          <w:sz w:val="22"/>
          <w:szCs w:val="22"/>
        </w:rPr>
        <w:t>20</w:t>
      </w:r>
      <w:r w:rsidR="002A10EF">
        <w:rPr>
          <w:rFonts w:ascii="Times New Roman" w:hAnsi="Times New Roman" w:cs="Times New Roman"/>
          <w:sz w:val="22"/>
          <w:szCs w:val="22"/>
        </w:rPr>
        <w:t xml:space="preserve">, </w:t>
      </w:r>
      <w:r w:rsidRPr="00216671">
        <w:rPr>
          <w:rFonts w:ascii="Times New Roman" w:hAnsi="Times New Roman" w:cs="Times New Roman"/>
          <w:sz w:val="22"/>
          <w:szCs w:val="22"/>
        </w:rPr>
        <w:t>passed under non-routine business</w:t>
      </w:r>
      <w:r w:rsidR="002A10EF">
        <w:rPr>
          <w:rFonts w:ascii="Times New Roman" w:hAnsi="Times New Roman" w:cs="Times New Roman"/>
          <w:sz w:val="22"/>
          <w:szCs w:val="22"/>
        </w:rPr>
        <w:t>,</w:t>
      </w:r>
      <w:r w:rsidRPr="00216671">
        <w:rPr>
          <w:rFonts w:ascii="Times New Roman" w:hAnsi="Times New Roman" w:cs="Times New Roman"/>
          <w:sz w:val="22"/>
          <w:szCs w:val="22"/>
        </w:rPr>
        <w:t xml:space="preserve"> will be submitted to the National Storage Mechanism and in due course will be available to view at </w:t>
      </w:r>
      <w:hyperlink r:id="rId8" w:history="1">
        <w:r w:rsidRPr="00216671">
          <w:rPr>
            <w:rStyle w:val="Hyperlink"/>
            <w:rFonts w:ascii="Times New Roman" w:hAnsi="Times New Roman" w:cs="Times New Roman"/>
            <w:sz w:val="22"/>
            <w:szCs w:val="22"/>
          </w:rPr>
          <w:t>www.Hemscott.com/nsm.do</w:t>
        </w:r>
      </w:hyperlink>
      <w:r w:rsidRPr="00216671">
        <w:rPr>
          <w:rFonts w:ascii="Times New Roman" w:hAnsi="Times New Roman" w:cs="Times New Roman"/>
          <w:sz w:val="22"/>
          <w:szCs w:val="22"/>
        </w:rPr>
        <w:t xml:space="preserve"> using Compass Group PLC’s code ‘CPG’.</w:t>
      </w:r>
    </w:p>
    <w:p w:rsidR="00216671" w:rsidRPr="00380F70" w:rsidRDefault="00216671" w:rsidP="00C82D6C">
      <w:pPr>
        <w:pStyle w:val="HTMLPreformatted"/>
        <w:jc w:val="both"/>
        <w:rPr>
          <w:rFonts w:ascii="Times New Roman" w:hAnsi="Times New Roman" w:cs="Times New Roman"/>
        </w:rPr>
      </w:pPr>
    </w:p>
    <w:p w:rsidR="00EE7011" w:rsidRDefault="00EE7011" w:rsidP="00483C48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</w:p>
    <w:p w:rsidR="001E3ADA" w:rsidRDefault="001E3ADA" w:rsidP="00483C48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  <w:r w:rsidRPr="00380F70">
        <w:rPr>
          <w:rFonts w:ascii="Times New Roman" w:hAnsi="Times New Roman" w:cs="Times New Roman"/>
          <w:sz w:val="22"/>
          <w:szCs w:val="22"/>
        </w:rPr>
        <w:t xml:space="preserve">As at the close of business on </w:t>
      </w:r>
      <w:r w:rsidR="00FF1FF0">
        <w:rPr>
          <w:rFonts w:ascii="Times New Roman" w:hAnsi="Times New Roman" w:cs="Times New Roman"/>
          <w:sz w:val="22"/>
          <w:szCs w:val="22"/>
        </w:rPr>
        <w:t>6</w:t>
      </w:r>
      <w:r w:rsidRPr="00380F70">
        <w:rPr>
          <w:rFonts w:ascii="Times New Roman" w:hAnsi="Times New Roman" w:cs="Times New Roman"/>
          <w:sz w:val="22"/>
          <w:szCs w:val="22"/>
        </w:rPr>
        <w:t xml:space="preserve"> February 20</w:t>
      </w:r>
      <w:r w:rsidR="00451F45">
        <w:rPr>
          <w:rFonts w:ascii="Times New Roman" w:hAnsi="Times New Roman" w:cs="Times New Roman"/>
          <w:sz w:val="22"/>
          <w:szCs w:val="22"/>
        </w:rPr>
        <w:t>1</w:t>
      </w:r>
      <w:r w:rsidR="00FF1FF0">
        <w:rPr>
          <w:rFonts w:ascii="Times New Roman" w:hAnsi="Times New Roman" w:cs="Times New Roman"/>
          <w:sz w:val="22"/>
          <w:szCs w:val="22"/>
        </w:rPr>
        <w:t>4</w:t>
      </w:r>
      <w:r w:rsidRPr="00380F70">
        <w:rPr>
          <w:rFonts w:ascii="Times New Roman" w:hAnsi="Times New Roman" w:cs="Times New Roman"/>
          <w:sz w:val="22"/>
          <w:szCs w:val="22"/>
        </w:rPr>
        <w:t>, the issued share capital was</w:t>
      </w:r>
      <w:r w:rsidR="00E804F4">
        <w:rPr>
          <w:rFonts w:ascii="Times New Roman" w:hAnsi="Times New Roman" w:cs="Times New Roman"/>
          <w:sz w:val="22"/>
          <w:szCs w:val="22"/>
        </w:rPr>
        <w:t xml:space="preserve"> </w:t>
      </w:r>
      <w:r w:rsidR="00991B78">
        <w:rPr>
          <w:rFonts w:ascii="Times New Roman" w:hAnsi="Times New Roman" w:cs="Times New Roman"/>
          <w:sz w:val="22"/>
          <w:szCs w:val="22"/>
        </w:rPr>
        <w:t>1,791,</w:t>
      </w:r>
      <w:r w:rsidR="000412A0">
        <w:rPr>
          <w:rFonts w:ascii="Times New Roman" w:hAnsi="Times New Roman" w:cs="Times New Roman"/>
          <w:sz w:val="22"/>
          <w:szCs w:val="22"/>
        </w:rPr>
        <w:t>6</w:t>
      </w:r>
      <w:r w:rsidR="00991B78">
        <w:rPr>
          <w:rFonts w:ascii="Times New Roman" w:hAnsi="Times New Roman" w:cs="Times New Roman"/>
          <w:sz w:val="22"/>
          <w:szCs w:val="22"/>
        </w:rPr>
        <w:t>39,459</w:t>
      </w:r>
      <w:r w:rsidR="004766AC">
        <w:rPr>
          <w:rFonts w:ascii="Times New Roman" w:hAnsi="Times New Roman" w:cs="Times New Roman"/>
          <w:sz w:val="22"/>
          <w:szCs w:val="22"/>
        </w:rPr>
        <w:t xml:space="preserve"> </w:t>
      </w:r>
      <w:r w:rsidR="00F74383">
        <w:rPr>
          <w:rFonts w:ascii="Times New Roman" w:hAnsi="Times New Roman" w:cs="Times New Roman"/>
          <w:sz w:val="22"/>
          <w:szCs w:val="22"/>
        </w:rPr>
        <w:t>o</w:t>
      </w:r>
      <w:r w:rsidR="004634E5" w:rsidRPr="00380F70">
        <w:rPr>
          <w:rFonts w:ascii="Times New Roman" w:hAnsi="Times New Roman" w:cs="Times New Roman"/>
          <w:sz w:val="22"/>
          <w:szCs w:val="22"/>
        </w:rPr>
        <w:t xml:space="preserve">rdinary </w:t>
      </w:r>
      <w:r w:rsidRPr="00380F70">
        <w:rPr>
          <w:rFonts w:ascii="Times New Roman" w:hAnsi="Times New Roman" w:cs="Times New Roman"/>
          <w:sz w:val="22"/>
          <w:szCs w:val="22"/>
        </w:rPr>
        <w:t>shares</w:t>
      </w:r>
      <w:r w:rsidR="00A57179" w:rsidRPr="00380F70">
        <w:rPr>
          <w:rFonts w:ascii="Times New Roman" w:hAnsi="Times New Roman" w:cs="Times New Roman"/>
          <w:sz w:val="22"/>
          <w:szCs w:val="22"/>
        </w:rPr>
        <w:t xml:space="preserve"> of 10 pence each</w:t>
      </w:r>
      <w:r w:rsidR="002A10EF">
        <w:rPr>
          <w:rFonts w:ascii="Times New Roman" w:hAnsi="Times New Roman" w:cs="Times New Roman"/>
          <w:sz w:val="22"/>
          <w:szCs w:val="22"/>
        </w:rPr>
        <w:t xml:space="preserve"> and the total number of voting rights in respect of these ordinary shares was</w:t>
      </w:r>
      <w:r w:rsidR="00E804F4">
        <w:rPr>
          <w:rFonts w:ascii="Times New Roman" w:hAnsi="Times New Roman" w:cs="Times New Roman"/>
          <w:sz w:val="22"/>
          <w:szCs w:val="22"/>
        </w:rPr>
        <w:t xml:space="preserve"> </w:t>
      </w:r>
      <w:r w:rsidR="00991B78">
        <w:rPr>
          <w:rFonts w:ascii="Times New Roman" w:hAnsi="Times New Roman" w:cs="Times New Roman"/>
          <w:sz w:val="22"/>
          <w:szCs w:val="22"/>
        </w:rPr>
        <w:t>1,791,639,459</w:t>
      </w:r>
      <w:r w:rsidR="004766AC">
        <w:rPr>
          <w:rFonts w:ascii="Times New Roman" w:hAnsi="Times New Roman" w:cs="Times New Roman"/>
          <w:sz w:val="22"/>
          <w:szCs w:val="22"/>
        </w:rPr>
        <w:t xml:space="preserve"> </w:t>
      </w:r>
      <w:r w:rsidR="002A10EF">
        <w:rPr>
          <w:rFonts w:ascii="Times New Roman" w:hAnsi="Times New Roman" w:cs="Times New Roman"/>
          <w:sz w:val="22"/>
          <w:szCs w:val="22"/>
        </w:rPr>
        <w:t>each ordinary share having one vote</w:t>
      </w:r>
      <w:r w:rsidRPr="00380F70">
        <w:rPr>
          <w:rFonts w:ascii="Times New Roman" w:hAnsi="Times New Roman" w:cs="Times New Roman"/>
          <w:sz w:val="22"/>
          <w:szCs w:val="22"/>
        </w:rPr>
        <w:t>.</w:t>
      </w:r>
    </w:p>
    <w:p w:rsidR="00216671" w:rsidRDefault="00216671" w:rsidP="00216671">
      <w:pPr>
        <w:jc w:val="both"/>
        <w:rPr>
          <w:sz w:val="22"/>
          <w:szCs w:val="22"/>
        </w:rPr>
      </w:pPr>
    </w:p>
    <w:p w:rsidR="001C6737" w:rsidRDefault="001C6737" w:rsidP="00216671">
      <w:pPr>
        <w:ind w:left="-720"/>
        <w:jc w:val="both"/>
        <w:rPr>
          <w:rFonts w:ascii="Arial" w:hAnsi="Arial" w:cs="Arial"/>
          <w:b/>
        </w:rPr>
      </w:pPr>
    </w:p>
    <w:p w:rsidR="00216671" w:rsidRPr="00C67A69" w:rsidRDefault="00216671" w:rsidP="00216671">
      <w:pPr>
        <w:ind w:left="-720"/>
        <w:jc w:val="both"/>
        <w:rPr>
          <w:rFonts w:ascii="Arial" w:hAnsi="Arial" w:cs="Arial"/>
          <w:b/>
        </w:rPr>
      </w:pPr>
      <w:r w:rsidRPr="00C67A69">
        <w:rPr>
          <w:rFonts w:ascii="Arial" w:hAnsi="Arial" w:cs="Arial"/>
          <w:b/>
        </w:rPr>
        <w:t>Enquiries:</w:t>
      </w:r>
    </w:p>
    <w:p w:rsidR="00216671" w:rsidRPr="00C67A69" w:rsidRDefault="00216671" w:rsidP="00216671">
      <w:pPr>
        <w:pStyle w:val="HTMLPreformatted"/>
        <w:rPr>
          <w:rFonts w:ascii="Arial" w:hAnsi="Arial" w:cs="Arial"/>
        </w:rPr>
      </w:pPr>
    </w:p>
    <w:p w:rsidR="005743D8" w:rsidRPr="00B353AE" w:rsidRDefault="005743D8" w:rsidP="005743D8">
      <w:pPr>
        <w:pStyle w:val="HTMLPreformatted"/>
        <w:ind w:hanging="709"/>
        <w:rPr>
          <w:rFonts w:ascii="Arial" w:hAnsi="Arial" w:cs="Arial"/>
          <w:sz w:val="18"/>
          <w:szCs w:val="18"/>
        </w:rPr>
      </w:pPr>
      <w:r w:rsidRPr="00B353AE">
        <w:rPr>
          <w:rFonts w:ascii="Arial" w:hAnsi="Arial" w:cs="Arial"/>
          <w:sz w:val="18"/>
          <w:szCs w:val="18"/>
        </w:rPr>
        <w:t>Compass Group PLC</w:t>
      </w:r>
    </w:p>
    <w:p w:rsidR="005743D8" w:rsidRPr="00B353AE" w:rsidRDefault="005743D8" w:rsidP="005743D8">
      <w:pPr>
        <w:pStyle w:val="HTMLPreformatted"/>
        <w:ind w:hanging="709"/>
        <w:rPr>
          <w:rFonts w:ascii="Arial" w:hAnsi="Arial" w:cs="Arial"/>
          <w:sz w:val="18"/>
          <w:szCs w:val="18"/>
        </w:rPr>
      </w:pPr>
      <w:r w:rsidRPr="00B353AE">
        <w:rPr>
          <w:rFonts w:ascii="Arial" w:hAnsi="Arial" w:cs="Arial"/>
          <w:sz w:val="18"/>
          <w:szCs w:val="18"/>
        </w:rPr>
        <w:t>+44 (0)1932 573000</w:t>
      </w:r>
    </w:p>
    <w:p w:rsidR="005743D8" w:rsidRPr="00B353AE" w:rsidRDefault="005743D8" w:rsidP="005743D8">
      <w:pPr>
        <w:pStyle w:val="HTMLPreformatted"/>
        <w:ind w:hanging="709"/>
        <w:rPr>
          <w:rFonts w:ascii="Arial" w:hAnsi="Arial" w:cs="Arial"/>
          <w:sz w:val="18"/>
          <w:szCs w:val="18"/>
        </w:rPr>
      </w:pPr>
    </w:p>
    <w:p w:rsidR="00B353AE" w:rsidRPr="00B353AE" w:rsidRDefault="00B353AE" w:rsidP="00B353AE">
      <w:pPr>
        <w:pStyle w:val="HTMLPreformatted"/>
        <w:ind w:left="-709"/>
        <w:rPr>
          <w:rFonts w:ascii="Arial" w:hAnsi="Arial" w:cs="Arial"/>
          <w:sz w:val="18"/>
          <w:szCs w:val="18"/>
        </w:rPr>
      </w:pPr>
      <w:r w:rsidRPr="00B353AE">
        <w:rPr>
          <w:rFonts w:ascii="Arial" w:hAnsi="Arial" w:cs="Arial"/>
          <w:sz w:val="18"/>
          <w:szCs w:val="18"/>
        </w:rPr>
        <w:t xml:space="preserve">Investors/Analysts: </w:t>
      </w:r>
      <w:r w:rsidRPr="00B353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353AE">
        <w:rPr>
          <w:rFonts w:ascii="Arial" w:hAnsi="Arial" w:cs="Arial"/>
          <w:sz w:val="18"/>
          <w:szCs w:val="18"/>
        </w:rPr>
        <w:t>Mark J White, General Counsel &amp; Company Secretary</w:t>
      </w:r>
    </w:p>
    <w:p w:rsidR="00B353AE" w:rsidRPr="00B353AE" w:rsidRDefault="00B353AE" w:rsidP="00B353AE">
      <w:pPr>
        <w:pStyle w:val="HTMLPreformatted"/>
        <w:rPr>
          <w:rFonts w:ascii="Arial" w:hAnsi="Arial" w:cs="Arial"/>
          <w:sz w:val="18"/>
          <w:szCs w:val="18"/>
        </w:rPr>
      </w:pPr>
      <w:r w:rsidRPr="00B353AE">
        <w:rPr>
          <w:rFonts w:ascii="Arial" w:hAnsi="Arial" w:cs="Arial"/>
          <w:sz w:val="18"/>
          <w:szCs w:val="18"/>
        </w:rPr>
        <w:tab/>
      </w:r>
      <w:r w:rsidRPr="00B353AE">
        <w:rPr>
          <w:rFonts w:ascii="Arial" w:hAnsi="Arial" w:cs="Arial"/>
          <w:sz w:val="18"/>
          <w:szCs w:val="18"/>
        </w:rPr>
        <w:tab/>
        <w:t xml:space="preserve">Sarah John, Director of Corporate Affairs </w:t>
      </w:r>
    </w:p>
    <w:p w:rsidR="00B353AE" w:rsidRPr="00B353AE" w:rsidRDefault="00B353AE" w:rsidP="00B353AE">
      <w:pPr>
        <w:pStyle w:val="HTMLPreformatted"/>
        <w:ind w:left="-709"/>
        <w:rPr>
          <w:rFonts w:ascii="Arial" w:hAnsi="Arial" w:cs="Arial"/>
          <w:sz w:val="18"/>
          <w:szCs w:val="18"/>
        </w:rPr>
      </w:pPr>
      <w:r w:rsidRPr="00B353AE">
        <w:rPr>
          <w:rFonts w:ascii="Arial" w:hAnsi="Arial" w:cs="Arial"/>
          <w:sz w:val="18"/>
          <w:szCs w:val="18"/>
        </w:rPr>
        <w:t xml:space="preserve">Media: </w:t>
      </w:r>
      <w:r w:rsidRPr="00B353AE">
        <w:rPr>
          <w:rFonts w:ascii="Arial" w:hAnsi="Arial" w:cs="Arial"/>
          <w:sz w:val="18"/>
          <w:szCs w:val="18"/>
        </w:rPr>
        <w:tab/>
      </w:r>
      <w:r w:rsidRPr="00B353AE">
        <w:rPr>
          <w:rFonts w:ascii="Arial" w:hAnsi="Arial" w:cs="Arial"/>
          <w:sz w:val="18"/>
          <w:szCs w:val="18"/>
        </w:rPr>
        <w:tab/>
        <w:t xml:space="preserve">Clare Hunt, Group Media Relations Assistant Director </w:t>
      </w:r>
    </w:p>
    <w:p w:rsidR="005743D8" w:rsidRDefault="005743D8" w:rsidP="005743D8">
      <w:pPr>
        <w:pStyle w:val="HTMLPreformatted"/>
        <w:ind w:hanging="709"/>
        <w:rPr>
          <w:rFonts w:ascii="Arial" w:hAnsi="Arial" w:cs="Arial"/>
        </w:rPr>
      </w:pPr>
    </w:p>
    <w:p w:rsidR="005743D8" w:rsidRPr="000B56DC" w:rsidRDefault="005743D8" w:rsidP="005743D8">
      <w:pPr>
        <w:pStyle w:val="BodyText"/>
        <w:ind w:hanging="709"/>
        <w:jc w:val="left"/>
        <w:rPr>
          <w:rFonts w:ascii="Arial" w:hAnsi="Arial" w:cs="Arial"/>
          <w:sz w:val="20"/>
        </w:rPr>
      </w:pPr>
    </w:p>
    <w:p w:rsidR="00CA02E1" w:rsidRPr="00B353AE" w:rsidRDefault="005743D8" w:rsidP="00CA02E1">
      <w:pPr>
        <w:ind w:hanging="709"/>
        <w:jc w:val="both"/>
        <w:rPr>
          <w:rFonts w:ascii="Arial" w:hAnsi="Arial" w:cs="Arial"/>
          <w:sz w:val="18"/>
          <w:szCs w:val="18"/>
        </w:rPr>
      </w:pPr>
      <w:r w:rsidRPr="00B353AE">
        <w:rPr>
          <w:rFonts w:ascii="Arial" w:hAnsi="Arial" w:cs="Arial"/>
          <w:sz w:val="18"/>
          <w:szCs w:val="18"/>
        </w:rPr>
        <w:t>Note to Editors</w:t>
      </w:r>
    </w:p>
    <w:p w:rsidR="00FF1FF0" w:rsidRPr="00B353AE" w:rsidRDefault="00FF1FF0" w:rsidP="00FF1FF0">
      <w:pPr>
        <w:ind w:left="-709"/>
        <w:jc w:val="both"/>
        <w:rPr>
          <w:rFonts w:ascii="Arial" w:hAnsi="Arial" w:cs="Arial"/>
          <w:sz w:val="18"/>
          <w:szCs w:val="18"/>
        </w:rPr>
      </w:pPr>
      <w:r w:rsidRPr="00B353AE">
        <w:rPr>
          <w:rFonts w:ascii="Arial" w:hAnsi="Arial" w:cs="Arial"/>
          <w:sz w:val="18"/>
          <w:szCs w:val="18"/>
        </w:rPr>
        <w:t>Compass Group PLC is a world-leading food and support services company, which generated annual revenues of £17.6 billion in the year to 30 September 2013.  It operates in around 50 countries, employs over 500,000 people and serves over 4 billion meals every year.  The Company specialises in providing food and a range of support services across the core sectors of Business &amp; Industry, Healthcare &amp; Seniors, Education, Defence, Offshore &amp; Remote, Sports &amp; Leisure and Vending with an established brand portfolio. </w:t>
      </w:r>
    </w:p>
    <w:p w:rsidR="005743D8" w:rsidRPr="00C40EA8" w:rsidRDefault="005743D8" w:rsidP="005743D8">
      <w:pPr>
        <w:ind w:hanging="709"/>
        <w:jc w:val="both"/>
        <w:rPr>
          <w:rFonts w:ascii="Arial" w:hAnsi="Arial" w:cs="Arial"/>
          <w:sz w:val="22"/>
          <w:szCs w:val="22"/>
        </w:rPr>
      </w:pPr>
    </w:p>
    <w:p w:rsidR="005743D8" w:rsidRPr="00FC117B" w:rsidRDefault="005743D8" w:rsidP="005743D8">
      <w:pPr>
        <w:ind w:hanging="709"/>
        <w:jc w:val="both"/>
        <w:rPr>
          <w:rFonts w:ascii="Arial" w:hAnsi="Arial" w:cs="Arial"/>
          <w:b/>
          <w:i/>
        </w:rPr>
      </w:pPr>
    </w:p>
    <w:sectPr w:rsidR="005743D8" w:rsidRPr="00FC117B" w:rsidSect="00FD044D">
      <w:pgSz w:w="11906" w:h="16838"/>
      <w:pgMar w:top="1361" w:right="424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F0" w:rsidRDefault="00FF1FF0">
      <w:r>
        <w:separator/>
      </w:r>
    </w:p>
  </w:endnote>
  <w:endnote w:type="continuationSeparator" w:id="0">
    <w:p w:rsidR="00FF1FF0" w:rsidRDefault="00FF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F0" w:rsidRDefault="00FF1FF0">
      <w:r>
        <w:separator/>
      </w:r>
    </w:p>
  </w:footnote>
  <w:footnote w:type="continuationSeparator" w:id="0">
    <w:p w:rsidR="00FF1FF0" w:rsidRDefault="00FF1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DA"/>
    <w:rsid w:val="000046F6"/>
    <w:rsid w:val="0000635D"/>
    <w:rsid w:val="00013968"/>
    <w:rsid w:val="0003203B"/>
    <w:rsid w:val="00034D75"/>
    <w:rsid w:val="000412A0"/>
    <w:rsid w:val="000423DF"/>
    <w:rsid w:val="000438A7"/>
    <w:rsid w:val="0005444C"/>
    <w:rsid w:val="000555FF"/>
    <w:rsid w:val="00070C9D"/>
    <w:rsid w:val="00074A8E"/>
    <w:rsid w:val="00074B95"/>
    <w:rsid w:val="00080F64"/>
    <w:rsid w:val="00086E2B"/>
    <w:rsid w:val="000915B8"/>
    <w:rsid w:val="000A5AF7"/>
    <w:rsid w:val="000E0C53"/>
    <w:rsid w:val="000E19AF"/>
    <w:rsid w:val="0010152A"/>
    <w:rsid w:val="00115455"/>
    <w:rsid w:val="00115C1B"/>
    <w:rsid w:val="001213AC"/>
    <w:rsid w:val="001248B9"/>
    <w:rsid w:val="00127977"/>
    <w:rsid w:val="00131CA1"/>
    <w:rsid w:val="001325F0"/>
    <w:rsid w:val="00136129"/>
    <w:rsid w:val="0016215D"/>
    <w:rsid w:val="001701B9"/>
    <w:rsid w:val="001709FB"/>
    <w:rsid w:val="0017332A"/>
    <w:rsid w:val="00173C90"/>
    <w:rsid w:val="00175D14"/>
    <w:rsid w:val="0018152C"/>
    <w:rsid w:val="00183073"/>
    <w:rsid w:val="00185F24"/>
    <w:rsid w:val="00191B0F"/>
    <w:rsid w:val="001940EF"/>
    <w:rsid w:val="001950CD"/>
    <w:rsid w:val="001A6542"/>
    <w:rsid w:val="001B1A06"/>
    <w:rsid w:val="001B2EE5"/>
    <w:rsid w:val="001B38F0"/>
    <w:rsid w:val="001C6737"/>
    <w:rsid w:val="001E2ED9"/>
    <w:rsid w:val="001E3ADA"/>
    <w:rsid w:val="00216671"/>
    <w:rsid w:val="00226318"/>
    <w:rsid w:val="00233C8D"/>
    <w:rsid w:val="00243E85"/>
    <w:rsid w:val="00245DE5"/>
    <w:rsid w:val="00267D46"/>
    <w:rsid w:val="00281039"/>
    <w:rsid w:val="002855A5"/>
    <w:rsid w:val="002A10EF"/>
    <w:rsid w:val="002A70D5"/>
    <w:rsid w:val="002B607B"/>
    <w:rsid w:val="002C320E"/>
    <w:rsid w:val="002C5912"/>
    <w:rsid w:val="002D46DB"/>
    <w:rsid w:val="002E3A75"/>
    <w:rsid w:val="002E47D4"/>
    <w:rsid w:val="002F5923"/>
    <w:rsid w:val="002F75E8"/>
    <w:rsid w:val="00315FBD"/>
    <w:rsid w:val="00321A58"/>
    <w:rsid w:val="00325C06"/>
    <w:rsid w:val="00344A2C"/>
    <w:rsid w:val="00372B65"/>
    <w:rsid w:val="00380F70"/>
    <w:rsid w:val="00381407"/>
    <w:rsid w:val="00383C82"/>
    <w:rsid w:val="003912F7"/>
    <w:rsid w:val="00392A52"/>
    <w:rsid w:val="0039337E"/>
    <w:rsid w:val="00393768"/>
    <w:rsid w:val="0039544D"/>
    <w:rsid w:val="003A23CA"/>
    <w:rsid w:val="003B6E3C"/>
    <w:rsid w:val="003C1D9C"/>
    <w:rsid w:val="003D2C0A"/>
    <w:rsid w:val="003D4A99"/>
    <w:rsid w:val="003D730A"/>
    <w:rsid w:val="003E37B2"/>
    <w:rsid w:val="003E7FF1"/>
    <w:rsid w:val="003F35E2"/>
    <w:rsid w:val="003F487E"/>
    <w:rsid w:val="004106EE"/>
    <w:rsid w:val="004160D3"/>
    <w:rsid w:val="00451F45"/>
    <w:rsid w:val="004618BC"/>
    <w:rsid w:val="00462D65"/>
    <w:rsid w:val="004634E5"/>
    <w:rsid w:val="004766AC"/>
    <w:rsid w:val="00483C48"/>
    <w:rsid w:val="00485102"/>
    <w:rsid w:val="00492D0A"/>
    <w:rsid w:val="004945D6"/>
    <w:rsid w:val="004A1544"/>
    <w:rsid w:val="004C21DF"/>
    <w:rsid w:val="004D6E3A"/>
    <w:rsid w:val="004F384A"/>
    <w:rsid w:val="005025F7"/>
    <w:rsid w:val="00512C79"/>
    <w:rsid w:val="005167D1"/>
    <w:rsid w:val="005216D2"/>
    <w:rsid w:val="00550D9F"/>
    <w:rsid w:val="00551716"/>
    <w:rsid w:val="005619A8"/>
    <w:rsid w:val="005743D8"/>
    <w:rsid w:val="00576757"/>
    <w:rsid w:val="005808F8"/>
    <w:rsid w:val="005C0EE0"/>
    <w:rsid w:val="005C3EA1"/>
    <w:rsid w:val="005D1FFD"/>
    <w:rsid w:val="005D29BE"/>
    <w:rsid w:val="005E11BE"/>
    <w:rsid w:val="005E3087"/>
    <w:rsid w:val="005E4934"/>
    <w:rsid w:val="005E4E62"/>
    <w:rsid w:val="005E5129"/>
    <w:rsid w:val="005F6B93"/>
    <w:rsid w:val="00601B6B"/>
    <w:rsid w:val="00603CF8"/>
    <w:rsid w:val="006052A0"/>
    <w:rsid w:val="006146B0"/>
    <w:rsid w:val="0063062E"/>
    <w:rsid w:val="00632F3F"/>
    <w:rsid w:val="0063368D"/>
    <w:rsid w:val="0064564A"/>
    <w:rsid w:val="00651101"/>
    <w:rsid w:val="00651E53"/>
    <w:rsid w:val="00652E29"/>
    <w:rsid w:val="00656530"/>
    <w:rsid w:val="00661B17"/>
    <w:rsid w:val="00671A28"/>
    <w:rsid w:val="006778B9"/>
    <w:rsid w:val="00681C59"/>
    <w:rsid w:val="00692F44"/>
    <w:rsid w:val="006952C3"/>
    <w:rsid w:val="006A682F"/>
    <w:rsid w:val="006B2A2B"/>
    <w:rsid w:val="006B555C"/>
    <w:rsid w:val="006B7E9E"/>
    <w:rsid w:val="006C2D71"/>
    <w:rsid w:val="006E17E8"/>
    <w:rsid w:val="006E44F4"/>
    <w:rsid w:val="006F6FBE"/>
    <w:rsid w:val="006F6FD2"/>
    <w:rsid w:val="00700AE5"/>
    <w:rsid w:val="007010F2"/>
    <w:rsid w:val="00701E0A"/>
    <w:rsid w:val="00725725"/>
    <w:rsid w:val="00734BEF"/>
    <w:rsid w:val="00740C35"/>
    <w:rsid w:val="007525CA"/>
    <w:rsid w:val="00755A5B"/>
    <w:rsid w:val="00775F0E"/>
    <w:rsid w:val="00776176"/>
    <w:rsid w:val="007800A9"/>
    <w:rsid w:val="007873C3"/>
    <w:rsid w:val="00793B5C"/>
    <w:rsid w:val="007A25E8"/>
    <w:rsid w:val="007A70DB"/>
    <w:rsid w:val="007B2A5A"/>
    <w:rsid w:val="007B5C30"/>
    <w:rsid w:val="007C3459"/>
    <w:rsid w:val="007C3499"/>
    <w:rsid w:val="007D1ADE"/>
    <w:rsid w:val="007D3C88"/>
    <w:rsid w:val="007E3BF5"/>
    <w:rsid w:val="007E48F0"/>
    <w:rsid w:val="007F2677"/>
    <w:rsid w:val="007F731D"/>
    <w:rsid w:val="00811F44"/>
    <w:rsid w:val="00826019"/>
    <w:rsid w:val="008312F9"/>
    <w:rsid w:val="00850D12"/>
    <w:rsid w:val="0086239B"/>
    <w:rsid w:val="00877851"/>
    <w:rsid w:val="008865E2"/>
    <w:rsid w:val="008935F1"/>
    <w:rsid w:val="00897A33"/>
    <w:rsid w:val="008A1F3C"/>
    <w:rsid w:val="008A25D5"/>
    <w:rsid w:val="008A38FC"/>
    <w:rsid w:val="008A3FD7"/>
    <w:rsid w:val="008B3B2F"/>
    <w:rsid w:val="008B55AD"/>
    <w:rsid w:val="008B6C32"/>
    <w:rsid w:val="008B7472"/>
    <w:rsid w:val="008C3C7D"/>
    <w:rsid w:val="008C6C3B"/>
    <w:rsid w:val="008C7933"/>
    <w:rsid w:val="008C7A31"/>
    <w:rsid w:val="008D1694"/>
    <w:rsid w:val="008D22A7"/>
    <w:rsid w:val="008E072D"/>
    <w:rsid w:val="008E13DA"/>
    <w:rsid w:val="008F7D6E"/>
    <w:rsid w:val="00901844"/>
    <w:rsid w:val="00910933"/>
    <w:rsid w:val="009113A6"/>
    <w:rsid w:val="00911D63"/>
    <w:rsid w:val="009326A4"/>
    <w:rsid w:val="00932A26"/>
    <w:rsid w:val="00935C24"/>
    <w:rsid w:val="009374E9"/>
    <w:rsid w:val="00941E97"/>
    <w:rsid w:val="009445AC"/>
    <w:rsid w:val="00944C04"/>
    <w:rsid w:val="00965B05"/>
    <w:rsid w:val="009672FE"/>
    <w:rsid w:val="009818C0"/>
    <w:rsid w:val="00986CB3"/>
    <w:rsid w:val="00987A19"/>
    <w:rsid w:val="00991B78"/>
    <w:rsid w:val="00994F3A"/>
    <w:rsid w:val="009A00F3"/>
    <w:rsid w:val="009A5A11"/>
    <w:rsid w:val="009B7611"/>
    <w:rsid w:val="009F0EF7"/>
    <w:rsid w:val="009F4600"/>
    <w:rsid w:val="00A00C5F"/>
    <w:rsid w:val="00A022F3"/>
    <w:rsid w:val="00A265A4"/>
    <w:rsid w:val="00A44151"/>
    <w:rsid w:val="00A44655"/>
    <w:rsid w:val="00A47553"/>
    <w:rsid w:val="00A57179"/>
    <w:rsid w:val="00A8050A"/>
    <w:rsid w:val="00A81CF0"/>
    <w:rsid w:val="00A822D0"/>
    <w:rsid w:val="00A84403"/>
    <w:rsid w:val="00A84E34"/>
    <w:rsid w:val="00A91BEA"/>
    <w:rsid w:val="00AA67A1"/>
    <w:rsid w:val="00AC0947"/>
    <w:rsid w:val="00AC3B82"/>
    <w:rsid w:val="00AF5A5C"/>
    <w:rsid w:val="00B01276"/>
    <w:rsid w:val="00B03B5E"/>
    <w:rsid w:val="00B14E38"/>
    <w:rsid w:val="00B16FFF"/>
    <w:rsid w:val="00B20AAF"/>
    <w:rsid w:val="00B20E25"/>
    <w:rsid w:val="00B27DA4"/>
    <w:rsid w:val="00B30B05"/>
    <w:rsid w:val="00B351A9"/>
    <w:rsid w:val="00B353AE"/>
    <w:rsid w:val="00B4100C"/>
    <w:rsid w:val="00B50236"/>
    <w:rsid w:val="00B5198F"/>
    <w:rsid w:val="00B5273D"/>
    <w:rsid w:val="00B562D5"/>
    <w:rsid w:val="00B72BDF"/>
    <w:rsid w:val="00B80CAE"/>
    <w:rsid w:val="00B9694E"/>
    <w:rsid w:val="00BB3015"/>
    <w:rsid w:val="00BB42D0"/>
    <w:rsid w:val="00BC26BF"/>
    <w:rsid w:val="00BC7B97"/>
    <w:rsid w:val="00BD4456"/>
    <w:rsid w:val="00BD7249"/>
    <w:rsid w:val="00BF2261"/>
    <w:rsid w:val="00C05805"/>
    <w:rsid w:val="00C05C0F"/>
    <w:rsid w:val="00C2311E"/>
    <w:rsid w:val="00C25B4E"/>
    <w:rsid w:val="00C27933"/>
    <w:rsid w:val="00C32C62"/>
    <w:rsid w:val="00C36350"/>
    <w:rsid w:val="00C3776E"/>
    <w:rsid w:val="00C414E9"/>
    <w:rsid w:val="00C41574"/>
    <w:rsid w:val="00C43350"/>
    <w:rsid w:val="00C54825"/>
    <w:rsid w:val="00C56BFE"/>
    <w:rsid w:val="00C70408"/>
    <w:rsid w:val="00C73732"/>
    <w:rsid w:val="00C7404D"/>
    <w:rsid w:val="00C74D07"/>
    <w:rsid w:val="00C82D6C"/>
    <w:rsid w:val="00C867E7"/>
    <w:rsid w:val="00CA02E1"/>
    <w:rsid w:val="00CB0DE3"/>
    <w:rsid w:val="00CC1344"/>
    <w:rsid w:val="00CC6380"/>
    <w:rsid w:val="00CD5127"/>
    <w:rsid w:val="00CF5B93"/>
    <w:rsid w:val="00D04964"/>
    <w:rsid w:val="00D10DBA"/>
    <w:rsid w:val="00D27B54"/>
    <w:rsid w:val="00D407D1"/>
    <w:rsid w:val="00D43188"/>
    <w:rsid w:val="00D50F8D"/>
    <w:rsid w:val="00D51F48"/>
    <w:rsid w:val="00D531DF"/>
    <w:rsid w:val="00D5362F"/>
    <w:rsid w:val="00D653C2"/>
    <w:rsid w:val="00D65767"/>
    <w:rsid w:val="00D7126D"/>
    <w:rsid w:val="00D845D7"/>
    <w:rsid w:val="00D87B33"/>
    <w:rsid w:val="00D90087"/>
    <w:rsid w:val="00D945BA"/>
    <w:rsid w:val="00DA5683"/>
    <w:rsid w:val="00DA68E7"/>
    <w:rsid w:val="00DD2A2E"/>
    <w:rsid w:val="00DE327B"/>
    <w:rsid w:val="00DE792E"/>
    <w:rsid w:val="00DF0500"/>
    <w:rsid w:val="00DF1EC0"/>
    <w:rsid w:val="00DF2092"/>
    <w:rsid w:val="00E030A0"/>
    <w:rsid w:val="00E11195"/>
    <w:rsid w:val="00E214FA"/>
    <w:rsid w:val="00E25D27"/>
    <w:rsid w:val="00E363B2"/>
    <w:rsid w:val="00E63473"/>
    <w:rsid w:val="00E76E68"/>
    <w:rsid w:val="00E804F4"/>
    <w:rsid w:val="00E9041F"/>
    <w:rsid w:val="00E91E8C"/>
    <w:rsid w:val="00E91EAB"/>
    <w:rsid w:val="00EA13A0"/>
    <w:rsid w:val="00EA262A"/>
    <w:rsid w:val="00EB2464"/>
    <w:rsid w:val="00EB3E51"/>
    <w:rsid w:val="00EB469D"/>
    <w:rsid w:val="00EC4381"/>
    <w:rsid w:val="00EC71EA"/>
    <w:rsid w:val="00EE7011"/>
    <w:rsid w:val="00EF2EBE"/>
    <w:rsid w:val="00F04D4C"/>
    <w:rsid w:val="00F16EB4"/>
    <w:rsid w:val="00F2426D"/>
    <w:rsid w:val="00F331D6"/>
    <w:rsid w:val="00F47F26"/>
    <w:rsid w:val="00F67752"/>
    <w:rsid w:val="00F67D41"/>
    <w:rsid w:val="00F74383"/>
    <w:rsid w:val="00F80105"/>
    <w:rsid w:val="00F84349"/>
    <w:rsid w:val="00F87122"/>
    <w:rsid w:val="00F9567F"/>
    <w:rsid w:val="00FA31EC"/>
    <w:rsid w:val="00FA6FA4"/>
    <w:rsid w:val="00FB537B"/>
    <w:rsid w:val="00FC6EE9"/>
    <w:rsid w:val="00FD044D"/>
    <w:rsid w:val="00FE179E"/>
    <w:rsid w:val="00FE4BEB"/>
    <w:rsid w:val="00FF1FF0"/>
    <w:rsid w:val="00FF3082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332802-2C7A-4975-AA58-C3C87909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3ADA"/>
    <w:pPr>
      <w:shd w:val="clear" w:color="auto" w:fill="EEEEEE"/>
      <w:spacing w:before="100" w:beforeAutospacing="1" w:after="100" w:afterAutospacing="1"/>
      <w:jc w:val="center"/>
    </w:pPr>
    <w:rPr>
      <w:sz w:val="18"/>
      <w:szCs w:val="18"/>
    </w:rPr>
  </w:style>
  <w:style w:type="character" w:styleId="Hyperlink">
    <w:name w:val="Hyperlink"/>
    <w:basedOn w:val="DefaultParagraphFont"/>
    <w:rsid w:val="001E3AD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E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1E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6E3A"/>
    <w:rPr>
      <w:rFonts w:ascii="Tahoma" w:hAnsi="Tahoma" w:cs="Tahoma"/>
      <w:sz w:val="16"/>
      <w:szCs w:val="16"/>
    </w:rPr>
  </w:style>
  <w:style w:type="character" w:customStyle="1" w:styleId="plcontent">
    <w:name w:val="plcontent"/>
    <w:basedOn w:val="DefaultParagraphFont"/>
    <w:rsid w:val="007800A9"/>
  </w:style>
  <w:style w:type="paragraph" w:styleId="Header">
    <w:name w:val="header"/>
    <w:basedOn w:val="Normal"/>
    <w:link w:val="HeaderChar"/>
    <w:uiPriority w:val="99"/>
    <w:rsid w:val="003D7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730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5743D8"/>
    <w:pPr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43D8"/>
    <w:rPr>
      <w:sz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43D8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651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501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85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8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464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259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5402">
          <w:marLeft w:val="420"/>
          <w:marRight w:val="42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834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scott.com/nsm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ass-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8B67-8426-417F-8394-95A47338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COMPASS GROUP PLC</vt:lpstr>
    </vt:vector>
  </TitlesOfParts>
  <Company>Compass Group UK &amp; Ireland</Company>
  <LinksUpToDate>false</LinksUpToDate>
  <CharactersWithSpaces>4062</CharactersWithSpaces>
  <SharedDoc>false</SharedDoc>
  <HLinks>
    <vt:vector size="12" baseType="variant"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http://www.hemscott.com/nsm.do</vt:lpwstr>
      </vt:variant>
      <vt:variant>
        <vt:lpwstr/>
      </vt:variant>
      <vt:variant>
        <vt:i4>4259927</vt:i4>
      </vt:variant>
      <vt:variant>
        <vt:i4>0</vt:i4>
      </vt:variant>
      <vt:variant>
        <vt:i4>0</vt:i4>
      </vt:variant>
      <vt:variant>
        <vt:i4>5</vt:i4>
      </vt:variant>
      <vt:variant>
        <vt:lpwstr>http://www.compass-group.com/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COMPASS GROUP PLC</dc:title>
  <dc:creator>lancefc1</dc:creator>
  <cp:lastModifiedBy>Agnieszka Gillespie</cp:lastModifiedBy>
  <cp:revision>2</cp:revision>
  <cp:lastPrinted>2013-02-06T16:57:00Z</cp:lastPrinted>
  <dcterms:created xsi:type="dcterms:W3CDTF">2017-04-07T11:34:00Z</dcterms:created>
  <dcterms:modified xsi:type="dcterms:W3CDTF">2017-04-07T11:34:00Z</dcterms:modified>
</cp:coreProperties>
</file>